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eBTC × Minotaurus — Whitepaper (Updated 2025-09-15)</w:t>
      </w:r>
    </w:p>
    <w:p/>
    <w:p>
      <w:pPr>
        <w:pStyle w:val="Heading2"/>
      </w:pPr>
      <w:r>
        <w:t>1. Giới thiệu</w:t>
      </w:r>
    </w:p>
    <w:p>
      <w:r>
        <w:t xml:space="preserve">eBTC là tài sản số trên **BNB Smart Chain (BEP‑20)**, kết hợp biểu tượng **Bitcoin** với tốc độ, phí thấp và khả năng mở rộng của hệ sinh thái EVM. Mục tiêu: trở thành **bridge asset** đáng tin cậy cho thanh toán, DeFi và lưu trữ giá trị. Tầm nhìn: trở thành token tham chiếu trong DeFi; sứ mệnh: xây dựng hệ sinh thái xoay quanh eBTC gồm staking, farming, utilities trong **GameFi Minotaurus** và các dApp thanh toán.  </w:t>
      </w:r>
    </w:p>
    <w:p>
      <w:r>
        <w:t>*(Bản cập nhật kế thừa nội dung cốt lõi của whitepaper trước)*</w:t>
      </w:r>
    </w:p>
    <w:p/>
    <w:p>
      <w:pPr>
        <w:pStyle w:val="Heading2"/>
      </w:pPr>
      <w:r>
        <w:t>2. Thông tin on‑chain (BscScan)</w:t>
      </w:r>
    </w:p>
    <w:p>
      <w:r>
        <w:t xml:space="preserve">- **Token**: eBTC (BEP‑20)  </w:t>
      </w:r>
    </w:p>
    <w:p>
      <w:r>
        <w:t xml:space="preserve">  **Contract**: `0x04fB36Fc1F6E3843DD0B290B59C8B8F0a5577009`  </w:t>
      </w:r>
    </w:p>
    <w:p>
      <w:r>
        <w:t xml:space="preserve">  **Xác nhận quyền sở hữu**: đã **Verified Signature** trên BscScan (26/08/2025).  </w:t>
      </w:r>
    </w:p>
    <w:p>
      <w:r>
        <w:t xml:space="preserve">- **Presale Contract (Buy)**: `0xF095b74e1F203219cf7EF726eC656A7061b6655d`  </w:t>
      </w:r>
    </w:p>
    <w:p>
      <w:r>
        <w:t xml:space="preserve">- **Treasury (GameTreasury)**: `0xbadca4f1967d434818210ba0d5a871dfc65272f1`  </w:t>
      </w:r>
    </w:p>
    <w:p>
      <w:r>
        <w:t>- **Mạng**: BNB Smart Chain Mainnet (chainId 56).</w:t>
      </w:r>
    </w:p>
    <w:p/>
    <w:p>
      <w:r>
        <w:t>&gt; Ghi chú: Các chỉ số động như tổng cung đang lưu hành, số holder, số giao dịch, LP… có thể thay đổi theo thời gian; xem trực tiếp trên BscScan để lấy giá trị tức thời.</w:t>
      </w:r>
    </w:p>
    <w:p/>
    <w:p>
      <w:pPr>
        <w:pStyle w:val="Heading2"/>
      </w:pPr>
      <w:r>
        <w:t>3. Công nghệ &amp; Tokenomics</w:t>
      </w:r>
    </w:p>
    <w:p>
      <w:r>
        <w:t>- **Chuẩn**: ERC‑20/BEP‑20; **no tax** khi mua/bán.</w:t>
      </w:r>
    </w:p>
    <w:p>
      <w:r>
        <w:t>- **Decimals**: 18 (chuẩn ERC‑20; nếu khác sẽ cập nhật theo on‑chain).</w:t>
      </w:r>
    </w:p>
    <w:p>
      <w:r>
        <w:t>- **Staking**: Hỗ trợ staking/LP staking theo roadmap.</w:t>
      </w:r>
    </w:p>
    <w:p>
      <w:r>
        <w:t>- **Burn**: Cơ chế **burn định kỳ** để kiểm soát cung (do cộng đồng biểu quyết).</w:t>
      </w:r>
    </w:p>
    <w:p>
      <w:r>
        <w:t>- **Quản trị**: DAO mở rộng từ 2026.</w:t>
      </w:r>
    </w:p>
    <w:p/>
    <w:p>
      <w:pPr>
        <w:pStyle w:val="Heading2"/>
      </w:pPr>
      <w:r>
        <w:t>4. Chương trình PRESALE (USDT‑only)</w:t>
      </w:r>
    </w:p>
    <w:p>
      <w:r>
        <w:t xml:space="preserve">- **Phương thức thanh toán**: **USDT (BEP‑20)** duy nhất để đơn giản &amp; minh bạch.  </w:t>
      </w:r>
    </w:p>
    <w:p>
      <w:r>
        <w:t xml:space="preserve">- **Cấu trúc 6 vòng (dự kiến)**:  </w:t>
      </w:r>
    </w:p>
    <w:p>
      <w:r>
        <w:t xml:space="preserve">  1) 0.8 USDT  →  2) 1.0 USDT  →  3) 1.2 USDT  →  4) 1.4 USDT  →  5) 1.6 USDT  →  6) 1.9 USDT  </w:t>
      </w:r>
    </w:p>
    <w:p>
      <w:r>
        <w:t xml:space="preserve">  **Thời gian**: 23‑09‑2025 → 23‑03‑2026 (6 vòng liên tục).  </w:t>
      </w:r>
    </w:p>
    <w:p>
      <w:r>
        <w:t xml:space="preserve">  **Mục tiêu huy động**: ~7.9M USDT.</w:t>
      </w:r>
    </w:p>
    <w:p>
      <w:r>
        <w:t xml:space="preserve">- **Vesting**: **50% TGE + 50% tuyến tính trong 60 ngày**.  </w:t>
      </w:r>
    </w:p>
    <w:p>
      <w:r>
        <w:t xml:space="preserve">- **Referral**: **5% eBTC** thưởng cho người giới thiệu (tính &amp; phân bổ on‑chain).  </w:t>
      </w:r>
    </w:p>
    <w:p>
      <w:r>
        <w:t>- **Rescue**: Presale contract có **hàm rescue** để chủ sở hữu có thể thu hồi BNB/USDT/Token gửi nhầm vào contract (trừ eBTC theo logic bảo vệ).</w:t>
      </w:r>
    </w:p>
    <w:p/>
    <w:p>
      <w:pPr>
        <w:pStyle w:val="Heading2"/>
      </w:pPr>
      <w:r>
        <w:t>5. Cơ chế Mua (Front‑end)</w:t>
      </w:r>
    </w:p>
    <w:p>
      <w:r>
        <w:t xml:space="preserve">- Người dùng **Connect Wallet** (MetaMask/Binance Wallet) trên **BSC**.  </w:t>
      </w:r>
    </w:p>
    <w:p>
      <w:r>
        <w:t xml:space="preserve">- Front‑end tự động: `approve(0)` (nếu cần) → `approve(amount)` USDT → `buyWithUSDT(amount)`.  </w:t>
      </w:r>
    </w:p>
    <w:p>
      <w:r>
        <w:t xml:space="preserve">- Hỗ trợ auto switch/add BSC chain.  </w:t>
      </w:r>
    </w:p>
    <w:p>
      <w:r>
        <w:t>- Chỉ dẫn rõ ràng về vesting và lịch unlock sau khi mua.</w:t>
      </w:r>
    </w:p>
    <w:p/>
    <w:p>
      <w:pPr>
        <w:pStyle w:val="Heading2"/>
      </w:pPr>
      <w:r>
        <w:t>6. Chiến lược Marketing</w:t>
      </w:r>
    </w:p>
    <w:p>
      <w:r>
        <w:t xml:space="preserve">- Mục tiêu **50,000** cộng đồng trước khi list.  </w:t>
      </w:r>
    </w:p>
    <w:p>
      <w:r>
        <w:t xml:space="preserve">- Airdrop &amp; Referral; KOLs tại **VN/IN/TR/SG/US/CA/CN/KR/JP**.  </w:t>
      </w:r>
    </w:p>
    <w:p>
      <w:r>
        <w:t xml:space="preserve">- PR/Content: Cointelegraph, CMC Community, Medium.  </w:t>
      </w:r>
    </w:p>
    <w:p>
      <w:r>
        <w:t>- Hợp tác đối tác DeFi để mở rộng use‑cases.</w:t>
      </w:r>
    </w:p>
    <w:p/>
    <w:p>
      <w:pPr>
        <w:pStyle w:val="Heading2"/>
      </w:pPr>
      <w:r>
        <w:t>7. Roadmap</w:t>
      </w:r>
    </w:p>
    <w:p>
      <w:r>
        <w:t xml:space="preserve">**GĐ1 – Khởi động (Q3 2025)**: Hoàn thiện smart contract, Presale, xây community, chuẩn bị **Audit/KYC** ngay sau Presale.  </w:t>
      </w:r>
    </w:p>
    <w:p>
      <w:r>
        <w:t xml:space="preserve">**GĐ2 – Niêm yết &amp; Thanh khoản (Q4 2025)**: List PancakeSwap, marketing, ra mắt **staking pool**.  </w:t>
      </w:r>
    </w:p>
    <w:p>
      <w:r>
        <w:t xml:space="preserve">**GĐ3 – Mở rộng (2026)**: Listing CEX tầm trung; dApp thanh toán &amp; NFT; **DAO**.  </w:t>
      </w:r>
    </w:p>
    <w:p>
      <w:r>
        <w:t>**GĐ4 – Dài hạn (2027+)**: Listing top CEX; tài sản tham chiếu DeFi; **bridge** sang Ethereum/Arbitrum/Solana.</w:t>
      </w:r>
    </w:p>
    <w:p/>
    <w:p>
      <w:pPr>
        <w:pStyle w:val="Heading2"/>
      </w:pPr>
      <w:r>
        <w:t>8. Đội ngũ &amp; Quản trị</w:t>
      </w:r>
    </w:p>
    <w:p>
      <w:r>
        <w:t xml:space="preserve">- Team: dev blockchain, marketing crypto, cố vấn tài chính.  </w:t>
      </w:r>
    </w:p>
    <w:p>
      <w:r>
        <w:t xml:space="preserve">- **Chủ sở hữu hệ thống**: *ALEXHOANG* (theo lịch sử dự án).  </w:t>
      </w:r>
    </w:p>
    <w:p>
      <w:r>
        <w:t>- DAO Governance mở rộng từ 2026.</w:t>
      </w:r>
    </w:p>
    <w:p/>
    <w:p>
      <w:pPr>
        <w:pStyle w:val="Heading2"/>
      </w:pPr>
      <w:r>
        <w:t>9. Kết luận</w:t>
      </w:r>
    </w:p>
    <w:p>
      <w:r>
        <w:t>eBTC hướng tới vị thế **asset tham chiếu** trên BSC, là lõi thanh toán cho hệ sinh thái **Minotaurus P2E** và các sản phẩm DeFi/Payment liên quan — với presale minh bạch, vesting công bằng, cơ chế referral và lộ trình phát triển rõ ràng.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