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sz w:val="32"/>
        </w:rPr>
        <w:t>eBTC × Minotaurus — Whitepaper (English, updated Sep 15, 2025)</w:t>
      </w:r>
    </w:p>
    <w:p>
      <w:r>
        <w:t>1. Introduction</w:t>
        <w:br/>
        <w:t>eBTC is a BEP‑20 digital asset on BNB Smart Chain (BSC). It combines the brand familiarity of Bitcoin with the low fees, speed, and scalability of the EVM ecosystem. Our goal is to become a reliable bridge asset for payments, DeFi, and value storage. Vision: a reference token across DeFi; Mission: build an ecosystem around eBTC including staking, farming, utilities within the Minotaurus GameFi universe, and payment dApps.</w:t>
      </w:r>
    </w:p>
    <w:p>
      <w:r>
        <w:t>2. On‑chain Information (BscScan)</w:t>
        <w:br/>
        <w:t xml:space="preserve">• Token: eBTC (BEP‑20)  </w:t>
        <w:br/>
        <w:t xml:space="preserve">  Contract: 0x04fB36Fc1F6E3843DD0B290B59C8B8F0a5577009  </w:t>
        <w:br/>
        <w:t xml:space="preserve">  Ownership verification: Verified Signature on BscScan (2025‑08‑26).  </w:t>
        <w:br/>
        <w:t xml:space="preserve">• Presale Contract (Buy): 0xF095b74e1F203219cf7EF726eC656A7061b6655d  </w:t>
        <w:br/>
        <w:t xml:space="preserve">• Treasury (GameTreasury): 0xbadca4f1967d434818210ba0d5a871dfc65272f1  </w:t>
        <w:br/>
        <w:t>• Network: BNB Smart Chain Mainnet (chainId 56).</w:t>
      </w:r>
    </w:p>
    <w:p>
      <w:r>
        <w:t>Note: Dynamic metrics such as circulating supply, holders, tx count, and LP balances change over time. Please refer to BscScan for real‑time values.</w:t>
      </w:r>
    </w:p>
    <w:p>
      <w:r>
        <w:t>3. Technology &amp; Tokenomics</w:t>
        <w:br/>
        <w:t xml:space="preserve">• Standard: ERC‑20/BEP‑20; no buy/sell tax.  </w:t>
        <w:br/>
        <w:t xml:space="preserve">• Decimals: 18 (ERC‑20 standard; updated if on‑chain differs).  </w:t>
        <w:br/>
        <w:t xml:space="preserve">• Staking: single‑asset and LP staking planned per roadmap.  </w:t>
        <w:br/>
        <w:t xml:space="preserve">• Burn: periodic community‑governed burn to manage supply.  </w:t>
        <w:br/>
        <w:t>• Governance: DAO expansion starting 2026.</w:t>
      </w:r>
    </w:p>
    <w:p>
      <w:r>
        <w:t>4. PRESALE Program (USDT‑only)</w:t>
        <w:br/>
        <w:t xml:space="preserve">• Payment method: USDT (BEP‑20) only, for simplicity and transparency.  </w:t>
        <w:br/>
        <w:t xml:space="preserve">• Six rounds (tentative) with increasing price per eBTC:  </w:t>
        <w:br/>
        <w:t xml:space="preserve">  1) 0.8 USDT → 2) 1.0 → 3) 1.2 → 4) 1.4 → 5) 1.6 → 6) 1.9  </w:t>
        <w:br/>
        <w:t xml:space="preserve">  Timeline: 2025‑09‑23 to 2026‑03‑23 (continuous six rounds).  </w:t>
        <w:br/>
        <w:t xml:space="preserve">  Target raise: ≈ 7.9M USDT.  </w:t>
        <w:br/>
        <w:t xml:space="preserve">• Vesting: 50% at TGE + 50% linear over 60 days.  </w:t>
        <w:br/>
        <w:t xml:space="preserve">• Referral: 5% eBTC bonus for referrers (accounted and distributed on‑chain).  </w:t>
        <w:br/>
        <w:t>• Rescue: Presale contract includes secure rescue functions to recover assets (BNB/USDT/other tokens) sent by mistake (excluding eBTC as protected by contract rules).</w:t>
      </w:r>
    </w:p>
    <w:p>
      <w:r>
        <w:t>5. Buy Flow (Front‑end)</w:t>
        <w:br/>
        <w:t xml:space="preserve">User connects a wallet (MetaMask/Binance Wallet/etc.) on BSC.  </w:t>
        <w:br/>
        <w:t xml:space="preserve">Front‑end sequence: approve(0) if needed → approve(amount) USDT → buyWithUSDT(amount).  </w:t>
        <w:br/>
        <w:t xml:space="preserve">Auto switch/add BSC chain supported.  </w:t>
        <w:br/>
        <w:t>Clear guidance about vesting and unlock schedule is displayed after purchase.</w:t>
      </w:r>
    </w:p>
    <w:p>
      <w:r>
        <w:t>6. Marketing</w:t>
        <w:br/>
        <w:t xml:space="preserve">Target 50,000 community members pre‑listing.  </w:t>
        <w:br/>
        <w:t xml:space="preserve">Airdrop &amp; referral; KOLs focus on VN/IN/TR/SG/US/CA/CN/KR/JP.  </w:t>
        <w:br/>
        <w:t xml:space="preserve">PR/content across Cointelegraph, CMC Community, Medium.  </w:t>
        <w:br/>
        <w:t>Partnerships with DeFi protocols to grow utilities.</w:t>
      </w:r>
    </w:p>
    <w:p>
      <w:r>
        <w:t>7. Roadmap</w:t>
        <w:br/>
        <w:t xml:space="preserve">Phase 1 — Launch (Q3 2025): finalize smart contracts, presale, community growth, Audit/KYC preparation right after presale.  </w:t>
        <w:br/>
        <w:t xml:space="preserve">Phase 2 — Listing &amp; Liquidity (Q4 2025): PancakeSwap listing, marketing, staking pool launch.  </w:t>
        <w:br/>
        <w:t xml:space="preserve">Phase 3 — Expansion (2026): mid‑tier CEX listings; payment dApps &amp; NFT; DAO.  </w:t>
        <w:br/>
        <w:t>Phase 4 — Long‑term (2027+): top CEX listings; DeFi reference asset; bridges to Ethereum/Arbitrum/Solana.</w:t>
      </w:r>
    </w:p>
    <w:p>
      <w:r>
        <w:t>8. Team &amp; Governance</w:t>
        <w:br/>
        <w:t xml:space="preserve">Team spans blockchain engineering, crypto marketing, and financial advisory.  </w:t>
        <w:br/>
        <w:t xml:space="preserve">System owner: ALEXHOANG (per project history).  </w:t>
        <w:br/>
        <w:t>DAO governance expands from 2026 onward.</w:t>
      </w:r>
    </w:p>
    <w:p>
      <w:r>
        <w:t>9. Conclusion</w:t>
        <w:br/>
        <w:t>eBTC aims to become a DeFi reference asset on BSC and the payment core for the Minotaurus P2E ecosystem and related DeFi/Payment products—featuring a transparent presale, fair vesting, referral mechanics, and a clear roadmap.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